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94D9" w14:textId="0BD07DE5" w:rsidR="00AE2DB0" w:rsidRDefault="00AE2DB0" w:rsidP="00AE2DB0">
      <w:pPr>
        <w:pStyle w:val="NormalWeb"/>
        <w:jc w:val="right"/>
        <w:rPr>
          <w:rFonts w:ascii="Roboto" w:hAnsi="Roboto"/>
          <w:color w:val="7A7A7A"/>
          <w:sz w:val="27"/>
          <w:szCs w:val="27"/>
        </w:rPr>
      </w:pPr>
      <w:r>
        <w:rPr>
          <w:rFonts w:ascii="Roboto" w:hAnsi="Roboto"/>
          <w:color w:val="7A7A7A"/>
          <w:sz w:val="27"/>
          <w:szCs w:val="27"/>
          <w:rtl/>
        </w:rPr>
        <w:t xml:space="preserve">יא ניהול </w:t>
      </w:r>
      <w:proofErr w:type="spellStart"/>
      <w:r>
        <w:rPr>
          <w:rFonts w:ascii="Roboto" w:hAnsi="Roboto"/>
          <w:color w:val="7A7A7A"/>
          <w:sz w:val="27"/>
          <w:szCs w:val="27"/>
          <w:rtl/>
        </w:rPr>
        <w:t>עיסקי</w:t>
      </w:r>
      <w:proofErr w:type="spellEnd"/>
      <w:r>
        <w:rPr>
          <w:rFonts w:ascii="Roboto" w:hAnsi="Roboto"/>
          <w:color w:val="7A7A7A"/>
          <w:sz w:val="27"/>
          <w:szCs w:val="27"/>
        </w:rPr>
        <w:t> </w:t>
      </w:r>
    </w:p>
    <w:p w14:paraId="3580316F" w14:textId="119492CD" w:rsidR="00AE2DB0" w:rsidRDefault="00AE2DB0" w:rsidP="00AE2DB0">
      <w:pPr>
        <w:pStyle w:val="NormalWeb"/>
        <w:jc w:val="right"/>
        <w:rPr>
          <w:rFonts w:ascii="Roboto" w:hAnsi="Roboto"/>
          <w:color w:val="7A7A7A"/>
          <w:sz w:val="27"/>
          <w:szCs w:val="27"/>
        </w:rPr>
      </w:pPr>
      <w:r>
        <w:rPr>
          <w:rFonts w:ascii="Roboto" w:hAnsi="Roboto" w:hint="cs"/>
          <w:color w:val="7A7A7A"/>
          <w:sz w:val="27"/>
          <w:szCs w:val="27"/>
          <w:rtl/>
        </w:rPr>
        <w:t>1)</w:t>
      </w:r>
      <w:r>
        <w:rPr>
          <w:rFonts w:ascii="Roboto" w:hAnsi="Roboto"/>
          <w:color w:val="7A7A7A"/>
          <w:sz w:val="27"/>
          <w:szCs w:val="27"/>
          <w:rtl/>
        </w:rPr>
        <w:t>פרק תורת הארגון  2) פרק שינוי ארגוני  3) פרק קבלת החלטות</w:t>
      </w:r>
    </w:p>
    <w:p w14:paraId="11F538AF" w14:textId="77777777" w:rsidR="00AE2DB0" w:rsidRDefault="00AE2DB0" w:rsidP="00AE2DB0">
      <w:pPr>
        <w:pStyle w:val="NormalWeb"/>
        <w:jc w:val="right"/>
        <w:rPr>
          <w:rFonts w:ascii="Roboto" w:hAnsi="Roboto"/>
          <w:color w:val="7A7A7A"/>
          <w:sz w:val="27"/>
          <w:szCs w:val="27"/>
        </w:rPr>
      </w:pPr>
      <w:r>
        <w:rPr>
          <w:rFonts w:ascii="Roboto" w:hAnsi="Roboto"/>
          <w:color w:val="7A7A7A"/>
          <w:sz w:val="27"/>
          <w:szCs w:val="27"/>
          <w:rtl/>
        </w:rPr>
        <w:t>מימון:  4. ריבית.  5. ערך עתידי6. ערך נוכחי.  7. ניתוח כדאיות השקעה</w:t>
      </w:r>
      <w:r>
        <w:rPr>
          <w:rFonts w:ascii="Roboto" w:hAnsi="Roboto"/>
          <w:color w:val="7A7A7A"/>
          <w:sz w:val="27"/>
          <w:szCs w:val="27"/>
        </w:rPr>
        <w:br/>
      </w:r>
      <w:r>
        <w:rPr>
          <w:rFonts w:ascii="Roboto" w:hAnsi="Roboto"/>
          <w:color w:val="7A7A7A"/>
          <w:sz w:val="27"/>
          <w:szCs w:val="27"/>
          <w:rtl/>
        </w:rPr>
        <w:t>עמודים מהחוברת 4-50</w:t>
      </w:r>
    </w:p>
    <w:p w14:paraId="0F67E5F7" w14:textId="77777777" w:rsidR="00667B64" w:rsidRPr="00AE2DB0" w:rsidRDefault="00667B64">
      <w:pPr>
        <w:rPr>
          <w:rFonts w:hint="cs"/>
        </w:rPr>
      </w:pPr>
    </w:p>
    <w:sectPr w:rsidR="00667B64" w:rsidRPr="00AE2DB0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B0"/>
    <w:rsid w:val="00667B64"/>
    <w:rsid w:val="00AE2DB0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B80C"/>
  <w15:chartTrackingRefBased/>
  <w15:docId w15:val="{6CAF38FB-2980-476E-A47D-68460A53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E2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137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2021-06-16T13:47:00Z</dcterms:created>
  <dcterms:modified xsi:type="dcterms:W3CDTF">2021-06-16T13:48:00Z</dcterms:modified>
</cp:coreProperties>
</file>